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93B6" w14:textId="6DE66EE0" w:rsidR="00121768" w:rsidRPr="00121768" w:rsidRDefault="00121768" w:rsidP="00121768">
      <w:pPr>
        <w:jc w:val="center"/>
        <w:rPr>
          <w:b/>
          <w:bCs/>
        </w:rPr>
      </w:pPr>
      <w:r w:rsidRPr="00121768">
        <w:rPr>
          <w:b/>
          <w:bCs/>
        </w:rPr>
        <w:t xml:space="preserve">All the ways to be an </w:t>
      </w:r>
      <w:proofErr w:type="spellStart"/>
      <w:r w:rsidRPr="00121768">
        <w:rPr>
          <w:b/>
          <w:bCs/>
        </w:rPr>
        <w:t>ExtraGive</w:t>
      </w:r>
      <w:proofErr w:type="spellEnd"/>
      <w:r w:rsidRPr="00121768">
        <w:rPr>
          <w:b/>
          <w:bCs/>
        </w:rPr>
        <w:t xml:space="preserve"> Fundraising Champion!</w:t>
      </w:r>
    </w:p>
    <w:p w14:paraId="5F673DCE" w14:textId="146743C5" w:rsidR="00121768" w:rsidRPr="00AF718B" w:rsidRDefault="00121768" w:rsidP="00121768">
      <w:r w:rsidRPr="00AF718B">
        <w:t xml:space="preserve">As a Fundraising Champion, you’ll have the opportunity to raise awareness and funds by sharing our mission with your network. Here are some actions you can take to help make </w:t>
      </w:r>
      <w:proofErr w:type="spellStart"/>
      <w:r w:rsidRPr="00AF718B">
        <w:t>ExtraGive</w:t>
      </w:r>
      <w:proofErr w:type="spellEnd"/>
      <w:r w:rsidRPr="00AF718B">
        <w:t xml:space="preserve"> a success:</w:t>
      </w:r>
    </w:p>
    <w:p w14:paraId="16BAFFA6" w14:textId="77777777" w:rsidR="00121768" w:rsidRPr="00AF718B" w:rsidRDefault="00121768" w:rsidP="00121768">
      <w:pPr>
        <w:numPr>
          <w:ilvl w:val="0"/>
          <w:numId w:val="1"/>
        </w:numPr>
      </w:pPr>
      <w:r w:rsidRPr="00AF718B">
        <w:rPr>
          <w:b/>
          <w:bCs/>
        </w:rPr>
        <w:t>Create your own fundraising page</w:t>
      </w:r>
      <w:r w:rsidRPr="00AF718B">
        <w:t>: Tell your story by sharing why youth mental wellness in Lancaster County matters to you. Your personal connection will inspire others to give.</w:t>
      </w:r>
    </w:p>
    <w:p w14:paraId="1EEE47CB" w14:textId="77777777" w:rsidR="00121768" w:rsidRPr="00AF718B" w:rsidRDefault="00121768" w:rsidP="00121768">
      <w:pPr>
        <w:numPr>
          <w:ilvl w:val="0"/>
          <w:numId w:val="1"/>
        </w:numPr>
      </w:pPr>
      <w:r w:rsidRPr="00AF718B">
        <w:rPr>
          <w:b/>
          <w:bCs/>
        </w:rPr>
        <w:t>Reaching out to local businesses for potential partnerships</w:t>
      </w:r>
      <w:r w:rsidRPr="00AF718B">
        <w:t xml:space="preserve">: Local businesses can partner with us by sharing our </w:t>
      </w:r>
      <w:proofErr w:type="spellStart"/>
      <w:r w:rsidRPr="00AF718B">
        <w:t>ExtraGive</w:t>
      </w:r>
      <w:proofErr w:type="spellEnd"/>
      <w:r w:rsidRPr="00AF718B">
        <w:t xml:space="preserve"> page on social media, providing in-kind donations for day-of events, or utilizing their community presence to promote the big day.</w:t>
      </w:r>
    </w:p>
    <w:p w14:paraId="3644EAF9" w14:textId="77777777" w:rsidR="00121768" w:rsidRPr="00AF718B" w:rsidRDefault="00121768" w:rsidP="00121768">
      <w:pPr>
        <w:numPr>
          <w:ilvl w:val="0"/>
          <w:numId w:val="1"/>
        </w:numPr>
      </w:pPr>
      <w:r w:rsidRPr="00AF718B">
        <w:rPr>
          <w:b/>
          <w:bCs/>
        </w:rPr>
        <w:t>Acquire sponsors for matching gifts or incentives</w:t>
      </w:r>
      <w:r w:rsidRPr="00AF718B">
        <w:t>: Matching donations can motivate your donors to participate and maximize their impact. This is a great opportunity to engage sponsors for matching funds that can amplify our efforts.</w:t>
      </w:r>
    </w:p>
    <w:p w14:paraId="0CF71D17" w14:textId="77777777" w:rsidR="00121768" w:rsidRPr="00AF718B" w:rsidRDefault="00121768" w:rsidP="00121768">
      <w:pPr>
        <w:numPr>
          <w:ilvl w:val="0"/>
          <w:numId w:val="1"/>
        </w:numPr>
      </w:pPr>
      <w:r w:rsidRPr="00AF718B">
        <w:rPr>
          <w:b/>
          <w:bCs/>
        </w:rPr>
        <w:t>Host a calling bank</w:t>
      </w:r>
      <w:r w:rsidRPr="00AF718B">
        <w:t xml:space="preserve">: A simple thank-you call to past donors can encourage them to support us again. No donor is too small—every contribution counts. We even have sample calling scripts to help you engage supporters and spread the word about </w:t>
      </w:r>
      <w:proofErr w:type="spellStart"/>
      <w:r w:rsidRPr="00AF718B">
        <w:t>ExtraGive</w:t>
      </w:r>
      <w:proofErr w:type="spellEnd"/>
      <w:r w:rsidRPr="00AF718B">
        <w:t>!</w:t>
      </w:r>
    </w:p>
    <w:p w14:paraId="7F23AB88" w14:textId="77777777" w:rsidR="00121768" w:rsidRPr="00AF718B" w:rsidRDefault="00121768" w:rsidP="00121768">
      <w:pPr>
        <w:numPr>
          <w:ilvl w:val="0"/>
          <w:numId w:val="1"/>
        </w:numPr>
      </w:pPr>
      <w:r w:rsidRPr="00AF718B">
        <w:rPr>
          <w:b/>
          <w:bCs/>
        </w:rPr>
        <w:t>Send personal letters to major donors</w:t>
      </w:r>
      <w:r w:rsidRPr="00AF718B">
        <w:t xml:space="preserve">: Before </w:t>
      </w:r>
      <w:proofErr w:type="spellStart"/>
      <w:r w:rsidRPr="00AF718B">
        <w:t>ExtraGive</w:t>
      </w:r>
      <w:proofErr w:type="spellEnd"/>
      <w:r w:rsidRPr="00AF718B">
        <w:t xml:space="preserve">, recognize your biggest donors with a personal letter, note, or even a phone call. Share how they’ve made an impact and invite them to see that impact in action during </w:t>
      </w:r>
      <w:proofErr w:type="spellStart"/>
      <w:r w:rsidRPr="00AF718B">
        <w:t>ExtraGive</w:t>
      </w:r>
      <w:proofErr w:type="spellEnd"/>
      <w:r w:rsidRPr="00AF718B">
        <w:t>. It’s a meaningful way to foster ongoing support.</w:t>
      </w:r>
    </w:p>
    <w:p w14:paraId="167878BE" w14:textId="77777777" w:rsidR="00121768" w:rsidRPr="00AF718B" w:rsidRDefault="00121768" w:rsidP="00121768">
      <w:pPr>
        <w:numPr>
          <w:ilvl w:val="0"/>
          <w:numId w:val="1"/>
        </w:numPr>
      </w:pPr>
      <w:r w:rsidRPr="00AF718B">
        <w:rPr>
          <w:b/>
          <w:bCs/>
        </w:rPr>
        <w:t xml:space="preserve">Ask for </w:t>
      </w:r>
      <w:proofErr w:type="spellStart"/>
      <w:r w:rsidRPr="00AF718B">
        <w:rPr>
          <w:b/>
          <w:bCs/>
        </w:rPr>
        <w:t>ExtraGive</w:t>
      </w:r>
      <w:proofErr w:type="spellEnd"/>
      <w:r w:rsidRPr="00AF718B">
        <w:rPr>
          <w:b/>
          <w:bCs/>
        </w:rPr>
        <w:t xml:space="preserve"> commitments to donate</w:t>
      </w:r>
      <w:r w:rsidRPr="00AF718B">
        <w:t xml:space="preserve">: Before the big day, encourage your supporters to make a commitment to donate. Use tools like Canva to </w:t>
      </w:r>
      <w:r>
        <w:t xml:space="preserve">add your logo to our </w:t>
      </w:r>
      <w:r w:rsidRPr="00AF718B">
        <w:t>custom social share image for them to pledge their support and spread the word about their planned donation.</w:t>
      </w:r>
      <w:r>
        <w:t xml:space="preserve"> (Contact Casey Flores for these graphics)</w:t>
      </w:r>
    </w:p>
    <w:p w14:paraId="26BCE013" w14:textId="77777777" w:rsidR="00121768" w:rsidRPr="00AF718B" w:rsidRDefault="00121768" w:rsidP="00121768">
      <w:r w:rsidRPr="00AF718B">
        <w:t>Taking these actions not only spreads awareness but also amplifies your impact on the lives of Lancaster’s youth. Here’s a quick checklist for action:</w:t>
      </w:r>
    </w:p>
    <w:p w14:paraId="36ED0495" w14:textId="77777777" w:rsidR="00121768" w:rsidRPr="00AF718B" w:rsidRDefault="00121768" w:rsidP="00121768">
      <w:pPr>
        <w:numPr>
          <w:ilvl w:val="0"/>
          <w:numId w:val="2"/>
        </w:numPr>
      </w:pPr>
      <w:r w:rsidRPr="00AF718B">
        <w:rPr>
          <w:b/>
          <w:bCs/>
        </w:rPr>
        <w:t>Promote your participation on social media</w:t>
      </w:r>
      <w:r w:rsidRPr="00AF718B">
        <w:t xml:space="preserve">: Share your page, post on Facebook, Instagram, and </w:t>
      </w:r>
      <w:r>
        <w:t>LinkedIn</w:t>
      </w:r>
      <w:r w:rsidRPr="00AF718B">
        <w:t xml:space="preserve"> and encourage your network to get involved.</w:t>
      </w:r>
    </w:p>
    <w:p w14:paraId="3DD58D23" w14:textId="77777777" w:rsidR="00121768" w:rsidRPr="00AF718B" w:rsidRDefault="00121768" w:rsidP="00121768">
      <w:pPr>
        <w:numPr>
          <w:ilvl w:val="0"/>
          <w:numId w:val="2"/>
        </w:numPr>
      </w:pPr>
      <w:r w:rsidRPr="00AF718B">
        <w:rPr>
          <w:b/>
          <w:bCs/>
        </w:rPr>
        <w:t>Encourage matching funds</w:t>
      </w:r>
      <w:r w:rsidRPr="00AF718B">
        <w:t>: Many employers offer donation matching, which can double the impact of each gift.</w:t>
      </w:r>
    </w:p>
    <w:p w14:paraId="44945CB8" w14:textId="77777777" w:rsidR="00121768" w:rsidRPr="00AF718B" w:rsidRDefault="00121768" w:rsidP="00121768">
      <w:pPr>
        <w:numPr>
          <w:ilvl w:val="0"/>
          <w:numId w:val="2"/>
        </w:numPr>
      </w:pPr>
      <w:r w:rsidRPr="00AF718B">
        <w:rPr>
          <w:b/>
          <w:bCs/>
        </w:rPr>
        <w:lastRenderedPageBreak/>
        <w:t>Attend our in-person event, the Great Giving Gig at Tellus360</w:t>
      </w:r>
      <w:r w:rsidRPr="00AF718B">
        <w:t>, on November 22 from 5:00-7:30 PM. Celebrate with us and see the difference you’re making!</w:t>
      </w:r>
    </w:p>
    <w:p w14:paraId="0AB5D2FE" w14:textId="77777777" w:rsidR="00121768" w:rsidRPr="00AF718B" w:rsidRDefault="00121768" w:rsidP="00121768">
      <w:r w:rsidRPr="00AF718B">
        <w:t>Your support helps us continue impactful programs, including:</w:t>
      </w:r>
    </w:p>
    <w:p w14:paraId="7C6C0D12" w14:textId="77777777" w:rsidR="00121768" w:rsidRPr="00AF718B" w:rsidRDefault="00121768" w:rsidP="00121768">
      <w:pPr>
        <w:numPr>
          <w:ilvl w:val="0"/>
          <w:numId w:val="3"/>
        </w:numPr>
      </w:pPr>
      <w:r w:rsidRPr="00AF718B">
        <w:t>Supporting 30 fellows in earning clinical licenses.</w:t>
      </w:r>
    </w:p>
    <w:p w14:paraId="583E7196" w14:textId="77777777" w:rsidR="00121768" w:rsidRPr="00AF718B" w:rsidRDefault="00121768" w:rsidP="00121768">
      <w:pPr>
        <w:numPr>
          <w:ilvl w:val="0"/>
          <w:numId w:val="3"/>
        </w:numPr>
      </w:pPr>
      <w:r w:rsidRPr="00AF718B">
        <w:t>Awarding 9 Mental Health Career Scholarships.</w:t>
      </w:r>
    </w:p>
    <w:p w14:paraId="6E985FAE" w14:textId="77777777" w:rsidR="00121768" w:rsidRPr="00AF718B" w:rsidRDefault="00121768" w:rsidP="00121768">
      <w:pPr>
        <w:numPr>
          <w:ilvl w:val="0"/>
          <w:numId w:val="3"/>
        </w:numPr>
      </w:pPr>
      <w:r w:rsidRPr="00AF718B">
        <w:t>Funding over 1,150 therapy sessions for children and young adults.</w:t>
      </w:r>
    </w:p>
    <w:p w14:paraId="669B8E65" w14:textId="77777777" w:rsidR="00121768" w:rsidRPr="00AF718B" w:rsidRDefault="00121768" w:rsidP="00121768">
      <w:r w:rsidRPr="00AF718B">
        <w:t>Together, we can make an incredible difference. Contact us to learn how to set up your fundraising page and become a champion for youth mental wellness!</w:t>
      </w:r>
    </w:p>
    <w:p w14:paraId="78B2A004" w14:textId="77777777" w:rsidR="00121768" w:rsidRDefault="00121768" w:rsidP="00121768">
      <w:r w:rsidRPr="00AF718B">
        <w:t>Thank you for your dedication,</w:t>
      </w:r>
      <w:r w:rsidRPr="00AF718B">
        <w:br/>
        <w:t>Touchstone Foundation</w:t>
      </w:r>
    </w:p>
    <w:p w14:paraId="1960231A" w14:textId="77777777" w:rsidR="004433FE" w:rsidRDefault="004433FE"/>
    <w:sectPr w:rsidR="00443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20F5E"/>
    <w:multiLevelType w:val="multilevel"/>
    <w:tmpl w:val="8F3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90E0A"/>
    <w:multiLevelType w:val="multilevel"/>
    <w:tmpl w:val="841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241AC"/>
    <w:multiLevelType w:val="multilevel"/>
    <w:tmpl w:val="6150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749944">
    <w:abstractNumId w:val="1"/>
  </w:num>
  <w:num w:numId="2" w16cid:durableId="1574386571">
    <w:abstractNumId w:val="0"/>
  </w:num>
  <w:num w:numId="3" w16cid:durableId="192186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68"/>
    <w:rsid w:val="00121768"/>
    <w:rsid w:val="004433FE"/>
    <w:rsid w:val="008F5BFD"/>
    <w:rsid w:val="00C55F74"/>
    <w:rsid w:val="00E6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55D9B"/>
  <w15:chartTrackingRefBased/>
  <w15:docId w15:val="{79458A86-6309-4122-9FD6-5C00B8B5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68"/>
  </w:style>
  <w:style w:type="paragraph" w:styleId="Heading1">
    <w:name w:val="heading 1"/>
    <w:basedOn w:val="Normal"/>
    <w:next w:val="Normal"/>
    <w:link w:val="Heading1Char"/>
    <w:uiPriority w:val="9"/>
    <w:qFormat/>
    <w:rsid w:val="00121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68"/>
    <w:rPr>
      <w:rFonts w:eastAsiaTheme="majorEastAsia" w:cstheme="majorBidi"/>
      <w:color w:val="272727" w:themeColor="text1" w:themeTint="D8"/>
    </w:rPr>
  </w:style>
  <w:style w:type="paragraph" w:styleId="Title">
    <w:name w:val="Title"/>
    <w:basedOn w:val="Normal"/>
    <w:next w:val="Normal"/>
    <w:link w:val="TitleChar"/>
    <w:uiPriority w:val="10"/>
    <w:qFormat/>
    <w:rsid w:val="0012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68"/>
    <w:pPr>
      <w:spacing w:before="160"/>
      <w:jc w:val="center"/>
    </w:pPr>
    <w:rPr>
      <w:i/>
      <w:iCs/>
      <w:color w:val="404040" w:themeColor="text1" w:themeTint="BF"/>
    </w:rPr>
  </w:style>
  <w:style w:type="character" w:customStyle="1" w:styleId="QuoteChar">
    <w:name w:val="Quote Char"/>
    <w:basedOn w:val="DefaultParagraphFont"/>
    <w:link w:val="Quote"/>
    <w:uiPriority w:val="29"/>
    <w:rsid w:val="00121768"/>
    <w:rPr>
      <w:i/>
      <w:iCs/>
      <w:color w:val="404040" w:themeColor="text1" w:themeTint="BF"/>
    </w:rPr>
  </w:style>
  <w:style w:type="paragraph" w:styleId="ListParagraph">
    <w:name w:val="List Paragraph"/>
    <w:basedOn w:val="Normal"/>
    <w:uiPriority w:val="34"/>
    <w:qFormat/>
    <w:rsid w:val="00121768"/>
    <w:pPr>
      <w:ind w:left="720"/>
      <w:contextualSpacing/>
    </w:pPr>
  </w:style>
  <w:style w:type="character" w:styleId="IntenseEmphasis">
    <w:name w:val="Intense Emphasis"/>
    <w:basedOn w:val="DefaultParagraphFont"/>
    <w:uiPriority w:val="21"/>
    <w:qFormat/>
    <w:rsid w:val="00121768"/>
    <w:rPr>
      <w:i/>
      <w:iCs/>
      <w:color w:val="0F4761" w:themeColor="accent1" w:themeShade="BF"/>
    </w:rPr>
  </w:style>
  <w:style w:type="paragraph" w:styleId="IntenseQuote">
    <w:name w:val="Intense Quote"/>
    <w:basedOn w:val="Normal"/>
    <w:next w:val="Normal"/>
    <w:link w:val="IntenseQuoteChar"/>
    <w:uiPriority w:val="30"/>
    <w:qFormat/>
    <w:rsid w:val="00121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68"/>
    <w:rPr>
      <w:i/>
      <w:iCs/>
      <w:color w:val="0F4761" w:themeColor="accent1" w:themeShade="BF"/>
    </w:rPr>
  </w:style>
  <w:style w:type="character" w:styleId="IntenseReference">
    <w:name w:val="Intense Reference"/>
    <w:basedOn w:val="DefaultParagraphFont"/>
    <w:uiPriority w:val="32"/>
    <w:qFormat/>
    <w:rsid w:val="00121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08F6783E89E48927A2FF8C32A0314" ma:contentTypeVersion="19" ma:contentTypeDescription="Create a new document." ma:contentTypeScope="" ma:versionID="cfb607cb170dc0e1cacaf50e64255a14">
  <xsd:schema xmlns:xsd="http://www.w3.org/2001/XMLSchema" xmlns:xs="http://www.w3.org/2001/XMLSchema" xmlns:p="http://schemas.microsoft.com/office/2006/metadata/properties" xmlns:ns2="733dffbb-d2e9-4daa-8f15-c07e3ed87b53" xmlns:ns3="bdc3afc2-6b24-4fb9-a07c-e9b19a9972b5" targetNamespace="http://schemas.microsoft.com/office/2006/metadata/properties" ma:root="true" ma:fieldsID="6ba4db008f8d3049142768b082d3a27f" ns2:_="" ns3:_="">
    <xsd:import namespace="733dffbb-d2e9-4daa-8f15-c07e3ed87b53"/>
    <xsd:import namespace="bdc3afc2-6b24-4fb9-a07c-e9b19a9972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dffbb-d2e9-4daa-8f15-c07e3ed87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37fea9-8877-4e91-bbd9-8a11524912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3afc2-6b24-4fb9-a07c-e9b19a9972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a18c7e-8b85-4a6d-bbcd-41d4fda1209a}" ma:internalName="TaxCatchAll" ma:showField="CatchAllData" ma:web="bdc3afc2-6b24-4fb9-a07c-e9b19a997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5 xmlns="733dffbb-d2e9-4daa-8f15-c07e3ed87b53" xsi:nil="true"/>
    <TaxCatchAll xmlns="bdc3afc2-6b24-4fb9-a07c-e9b19a9972b5" xsi:nil="true"/>
    <lcf76f155ced4ddcb4097134ff3c332f xmlns="733dffbb-d2e9-4daa-8f15-c07e3ed87b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2EAE6-A872-4A38-84C2-EA2518335EE4}"/>
</file>

<file path=customXml/itemProps2.xml><?xml version="1.0" encoding="utf-8"?>
<ds:datastoreItem xmlns:ds="http://schemas.openxmlformats.org/officeDocument/2006/customXml" ds:itemID="{D8EA08CD-6B92-4780-9F84-4A886A6451C5}"/>
</file>

<file path=customXml/itemProps3.xml><?xml version="1.0" encoding="utf-8"?>
<ds:datastoreItem xmlns:ds="http://schemas.openxmlformats.org/officeDocument/2006/customXml" ds:itemID="{B6DB84D3-A842-474E-B381-4217657AC420}"/>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2322</Characters>
  <Application>Microsoft Office Word</Application>
  <DocSecurity>0</DocSecurity>
  <Lines>42</Lines>
  <Paragraphs>21</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Flores</dc:creator>
  <cp:keywords/>
  <dc:description/>
  <cp:lastModifiedBy>Casey  Flores</cp:lastModifiedBy>
  <cp:revision>1</cp:revision>
  <dcterms:created xsi:type="dcterms:W3CDTF">2025-11-12T16:22:00Z</dcterms:created>
  <dcterms:modified xsi:type="dcterms:W3CDTF">2025-11-12T16:23:00Z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32dd8e61-81f0-49fa-b705-99a7a8c55207</vt:lpwstr>
  </property>
  <property fmtid="{D5CDD505-2E9C-101B-9397-08002B2CF9AE}" pid="3" name="ContentTypeId">
    <vt:lpwstr>0x010100BFF08F6783E89E48927A2FF8C32A0314</vt:lpwstr>
  </property>
</Properties>
</file>